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10B8" w:rsidRPr="005B7279" w:rsidRDefault="005B7279" w:rsidP="005B7279">
      <w:pPr>
        <w:rPr>
          <w:sz w:val="24"/>
          <w:szCs w:val="24"/>
        </w:rPr>
      </w:pPr>
      <w:r w:rsidRPr="005B7279">
        <w:rPr>
          <w:sz w:val="24"/>
          <w:szCs w:val="24"/>
        </w:rPr>
        <w:t>Dokument należy złożyć w dwóch jednobrzmiących egzemplarzach. Do oświadczenia powinno być dołączone zeznanie o wysokości dochodu w ubiegłym roku (PIT). Osoba, której złożono oświadczenie majątkowe, przeprowadza jego analizę. Przekazuje też jeden egzemplarz złożonych dokumentów urzędowi skarbowemu.</w:t>
      </w:r>
      <w:r w:rsidRPr="005B7279">
        <w:rPr>
          <w:sz w:val="24"/>
          <w:szCs w:val="24"/>
        </w:rPr>
        <w:t xml:space="preserve"> </w:t>
      </w:r>
      <w:r w:rsidRPr="005B7279">
        <w:rPr>
          <w:sz w:val="24"/>
          <w:szCs w:val="24"/>
        </w:rPr>
        <w:t>Kopie jawnej części oświadczenia majątkowego (Część A) publikowane są w Biuletynie Informacji Publicznej.</w:t>
      </w:r>
    </w:p>
    <w:sectPr w:rsidR="00C510B8" w:rsidRPr="005B7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279"/>
    <w:rsid w:val="005B7279"/>
    <w:rsid w:val="00C5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357C3"/>
  <w15:chartTrackingRefBased/>
  <w15:docId w15:val="{B4987631-93BA-4144-A145-F0EA393D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348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Cheda</dc:creator>
  <cp:keywords/>
  <dc:description/>
  <cp:lastModifiedBy>Paweł Cheda</cp:lastModifiedBy>
  <cp:revision>1</cp:revision>
  <dcterms:created xsi:type="dcterms:W3CDTF">2023-04-06T11:04:00Z</dcterms:created>
  <dcterms:modified xsi:type="dcterms:W3CDTF">2023-04-06T11:06:00Z</dcterms:modified>
</cp:coreProperties>
</file>